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5FE79" w14:textId="764FA289" w:rsidR="00B75F7B" w:rsidRDefault="00B75F7B"/>
    <w:p w14:paraId="00A8FC0E"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
          <w:color w:val="777777"/>
          <w:sz w:val="27"/>
          <w:szCs w:val="27"/>
        </w:rPr>
        <w:t>Approvato dal Senato</w:t>
      </w:r>
      <w:r w:rsidRPr="008A24B8">
        <w:rPr>
          <w:rFonts w:ascii="Lato" w:hAnsi="Lato"/>
          <w:bCs w:val="0"/>
          <w:color w:val="777777"/>
          <w:sz w:val="27"/>
          <w:szCs w:val="27"/>
        </w:rPr>
        <w:t> il disegno di legge contenente </w:t>
      </w:r>
      <w:r w:rsidRPr="008A24B8">
        <w:rPr>
          <w:rFonts w:ascii="Lato" w:hAnsi="Lato"/>
          <w:b/>
          <w:color w:val="777777"/>
          <w:sz w:val="27"/>
          <w:szCs w:val="27"/>
        </w:rPr>
        <w:t>modifiche al Decreto Agosto</w:t>
      </w:r>
      <w:r w:rsidRPr="008A24B8">
        <w:rPr>
          <w:rFonts w:ascii="Lato" w:hAnsi="Lato"/>
          <w:bCs w:val="0"/>
          <w:color w:val="777777"/>
          <w:sz w:val="27"/>
          <w:szCs w:val="27"/>
        </w:rPr>
        <w:t> (DL 14 agosto 2020, n.104) in ambito di prevenzione antincendio.</w:t>
      </w:r>
    </w:p>
    <w:p w14:paraId="6DDA5DCE"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 È rinviato di sei mesi dal termine dello stato di emergenza deliberato dal Consiglio dei Ministri il termine per gli adempimenti e adeguamenti antincendio previsti per il</w:t>
      </w:r>
      <w:r w:rsidRPr="008A24B8">
        <w:rPr>
          <w:rFonts w:ascii="Lato" w:hAnsi="Lato"/>
          <w:b/>
          <w:color w:val="777777"/>
          <w:sz w:val="27"/>
          <w:szCs w:val="27"/>
        </w:rPr>
        <w:t> 6 maggio 2020</w:t>
      </w:r>
      <w:r w:rsidRPr="008A24B8">
        <w:rPr>
          <w:rFonts w:ascii="Lato" w:hAnsi="Lato"/>
          <w:bCs w:val="0"/>
          <w:color w:val="777777"/>
          <w:sz w:val="27"/>
          <w:szCs w:val="27"/>
        </w:rPr>
        <w:t>, di cui all’articolo 3, comma 1, lettera b, del decreto del Ministro dell’interno 25 gennaio 2019».</w:t>
      </w:r>
    </w:p>
    <w:p w14:paraId="6D4D94EE"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Questo significa che il termine per l’adeguamento alle norme antincendio è </w:t>
      </w:r>
      <w:r w:rsidRPr="008A24B8">
        <w:rPr>
          <w:rFonts w:ascii="Lato" w:hAnsi="Lato"/>
          <w:b/>
          <w:color w:val="777777"/>
          <w:sz w:val="27"/>
          <w:szCs w:val="27"/>
        </w:rPr>
        <w:t>rinviato a luglio 2021</w:t>
      </w:r>
      <w:r w:rsidRPr="008A24B8">
        <w:rPr>
          <w:rFonts w:ascii="Lato" w:hAnsi="Lato"/>
          <w:bCs w:val="0"/>
          <w:color w:val="777777"/>
          <w:sz w:val="27"/>
          <w:szCs w:val="27"/>
        </w:rPr>
        <w:t>. 6 mesi, cioè, dalla proroga dello stato di emergenza fisata durante la seduta del Consiglio dei ministri del 7 ottobre 2020.</w:t>
      </w:r>
    </w:p>
    <w:p w14:paraId="545765D2"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La proroga, però, è valida </w:t>
      </w:r>
      <w:r w:rsidRPr="008A24B8">
        <w:rPr>
          <w:rFonts w:ascii="Lato" w:hAnsi="Lato"/>
          <w:b/>
          <w:color w:val="777777"/>
          <w:sz w:val="27"/>
          <w:szCs w:val="27"/>
        </w:rPr>
        <w:t>esclusivamente per i condomìni con altezza antincendio compresa tra 12 e 24 metri,</w:t>
      </w:r>
      <w:r w:rsidRPr="008A24B8">
        <w:rPr>
          <w:rFonts w:ascii="Lato" w:hAnsi="Lato"/>
          <w:bCs w:val="0"/>
          <w:color w:val="777777"/>
          <w:sz w:val="27"/>
          <w:szCs w:val="27"/>
        </w:rPr>
        <w:t> a cui si riferisce l’articolo del Decreto del Ministro dell’interno del 25 gennaio 2019.</w:t>
      </w:r>
    </w:p>
    <w:p w14:paraId="37EA10C4"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Rimane pertanto inalterata la scadenza, fissata al </w:t>
      </w:r>
      <w:r w:rsidRPr="008A24B8">
        <w:rPr>
          <w:rFonts w:ascii="Lato" w:hAnsi="Lato"/>
          <w:b/>
          <w:color w:val="777777"/>
          <w:sz w:val="27"/>
          <w:szCs w:val="27"/>
        </w:rPr>
        <w:t>6 maggio 2021</w:t>
      </w:r>
      <w:r w:rsidRPr="008A24B8">
        <w:rPr>
          <w:rFonts w:ascii="Lato" w:hAnsi="Lato"/>
          <w:bCs w:val="0"/>
          <w:color w:val="777777"/>
          <w:sz w:val="27"/>
          <w:szCs w:val="27"/>
        </w:rPr>
        <w:t>, per l’obbligo di installazione degli </w:t>
      </w:r>
      <w:r w:rsidRPr="008A24B8">
        <w:rPr>
          <w:rFonts w:ascii="Lato" w:hAnsi="Lato"/>
          <w:b/>
          <w:color w:val="777777"/>
          <w:sz w:val="27"/>
          <w:szCs w:val="27"/>
        </w:rPr>
        <w:t>impianti nei condomini con altezza compresa tra 24 e 80 metri</w:t>
      </w:r>
      <w:r w:rsidRPr="008A24B8">
        <w:rPr>
          <w:rFonts w:ascii="Lato" w:hAnsi="Lato"/>
          <w:bCs w:val="0"/>
          <w:color w:val="777777"/>
          <w:sz w:val="27"/>
          <w:szCs w:val="27"/>
        </w:rPr>
        <w:t>.</w:t>
      </w:r>
    </w:p>
    <w:p w14:paraId="29920320"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questo decreto introduce misure di prevenzione commisurate all’altezza degli edifici.</w:t>
      </w:r>
    </w:p>
    <w:p w14:paraId="618EA6E2"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Il decreto, che aggiorna il </w:t>
      </w:r>
      <w:r w:rsidRPr="008A24B8">
        <w:rPr>
          <w:rFonts w:ascii="Lato" w:hAnsi="Lato"/>
          <w:b/>
          <w:color w:val="777777"/>
          <w:sz w:val="27"/>
          <w:szCs w:val="27"/>
        </w:rPr>
        <w:t>DM 246/1987</w:t>
      </w:r>
      <w:r w:rsidRPr="008A24B8">
        <w:rPr>
          <w:rFonts w:ascii="Lato" w:hAnsi="Lato"/>
          <w:bCs w:val="0"/>
          <w:color w:val="777777"/>
          <w:sz w:val="27"/>
          <w:szCs w:val="27"/>
        </w:rPr>
        <w:t>, individua quattro livelli di prestazione antincendio in base all’altezza antincendi dell’edificio:</w:t>
      </w:r>
      <w:r w:rsidRPr="008A24B8">
        <w:rPr>
          <w:rFonts w:ascii="Lato" w:hAnsi="Lato"/>
          <w:bCs w:val="0"/>
          <w:color w:val="777777"/>
          <w:sz w:val="27"/>
          <w:szCs w:val="27"/>
        </w:rPr>
        <w:br/>
        <w:t>– </w:t>
      </w:r>
      <w:r w:rsidRPr="008A24B8">
        <w:rPr>
          <w:rFonts w:ascii="Lato" w:hAnsi="Lato"/>
          <w:b/>
          <w:color w:val="777777"/>
          <w:sz w:val="27"/>
          <w:szCs w:val="27"/>
        </w:rPr>
        <w:t>L.P. 0</w:t>
      </w:r>
      <w:r w:rsidRPr="008A24B8">
        <w:rPr>
          <w:rFonts w:ascii="Lato" w:hAnsi="Lato"/>
          <w:bCs w:val="0"/>
          <w:color w:val="777777"/>
          <w:sz w:val="27"/>
          <w:szCs w:val="27"/>
        </w:rPr>
        <w:t> per gli edifici di altezza antincendi da 12 metri a 24 metri;</w:t>
      </w:r>
      <w:r w:rsidRPr="008A24B8">
        <w:rPr>
          <w:rFonts w:ascii="Lato" w:hAnsi="Lato"/>
          <w:bCs w:val="0"/>
          <w:color w:val="777777"/>
          <w:sz w:val="27"/>
          <w:szCs w:val="27"/>
        </w:rPr>
        <w:br/>
        <w:t>– </w:t>
      </w:r>
      <w:r w:rsidRPr="008A24B8">
        <w:rPr>
          <w:rFonts w:ascii="Lato" w:hAnsi="Lato"/>
          <w:b/>
          <w:color w:val="777777"/>
          <w:sz w:val="27"/>
          <w:szCs w:val="27"/>
        </w:rPr>
        <w:t>L.P. 1</w:t>
      </w:r>
      <w:r w:rsidRPr="008A24B8">
        <w:rPr>
          <w:rFonts w:ascii="Lato" w:hAnsi="Lato"/>
          <w:bCs w:val="0"/>
          <w:color w:val="777777"/>
          <w:sz w:val="27"/>
          <w:szCs w:val="27"/>
        </w:rPr>
        <w:t> per gli edifici di altezza antincendi da 24 metri a 54 metri;</w:t>
      </w:r>
      <w:r w:rsidRPr="008A24B8">
        <w:rPr>
          <w:rFonts w:ascii="Lato" w:hAnsi="Lato"/>
          <w:bCs w:val="0"/>
          <w:color w:val="777777"/>
          <w:sz w:val="27"/>
          <w:szCs w:val="27"/>
        </w:rPr>
        <w:br/>
        <w:t>– </w:t>
      </w:r>
      <w:r w:rsidRPr="008A24B8">
        <w:rPr>
          <w:rFonts w:ascii="Lato" w:hAnsi="Lato"/>
          <w:b/>
          <w:color w:val="777777"/>
          <w:sz w:val="27"/>
          <w:szCs w:val="27"/>
        </w:rPr>
        <w:t>L.P. 2</w:t>
      </w:r>
      <w:r w:rsidRPr="008A24B8">
        <w:rPr>
          <w:rFonts w:ascii="Lato" w:hAnsi="Lato"/>
          <w:bCs w:val="0"/>
          <w:color w:val="777777"/>
          <w:sz w:val="27"/>
          <w:szCs w:val="27"/>
        </w:rPr>
        <w:t> per gli edifici di altezza antincendi da oltre 54 metri fino a 80 metri;</w:t>
      </w:r>
      <w:r w:rsidRPr="008A24B8">
        <w:rPr>
          <w:rFonts w:ascii="Lato" w:hAnsi="Lato"/>
          <w:bCs w:val="0"/>
          <w:color w:val="777777"/>
          <w:sz w:val="27"/>
          <w:szCs w:val="27"/>
        </w:rPr>
        <w:br/>
        <w:t>– </w:t>
      </w:r>
      <w:r w:rsidRPr="008A24B8">
        <w:rPr>
          <w:rFonts w:ascii="Lato" w:hAnsi="Lato"/>
          <w:b/>
          <w:color w:val="777777"/>
          <w:sz w:val="27"/>
          <w:szCs w:val="27"/>
        </w:rPr>
        <w:t>L.P. 3</w:t>
      </w:r>
      <w:r w:rsidRPr="008A24B8">
        <w:rPr>
          <w:rFonts w:ascii="Lato" w:hAnsi="Lato"/>
          <w:bCs w:val="0"/>
          <w:color w:val="777777"/>
          <w:sz w:val="27"/>
          <w:szCs w:val="27"/>
        </w:rPr>
        <w:t> per gli edifici di altezza antincendi oltre 80 metri.</w:t>
      </w:r>
    </w:p>
    <w:p w14:paraId="38A51826" w14:textId="77777777" w:rsidR="008A24B8" w:rsidRPr="008A24B8" w:rsidRDefault="008A24B8" w:rsidP="008A24B8">
      <w:pPr>
        <w:shd w:val="clear" w:color="auto" w:fill="FFFFFF"/>
        <w:overflowPunct/>
        <w:autoSpaceDE/>
        <w:autoSpaceDN/>
        <w:adjustRightInd/>
        <w:spacing w:after="120"/>
        <w:textAlignment w:val="auto"/>
        <w:outlineLvl w:val="1"/>
        <w:rPr>
          <w:rFonts w:ascii="Lato" w:hAnsi="Lato"/>
          <w:b/>
          <w:color w:val="555555"/>
          <w:sz w:val="38"/>
          <w:szCs w:val="38"/>
        </w:rPr>
      </w:pPr>
      <w:r w:rsidRPr="008A24B8">
        <w:rPr>
          <w:rFonts w:ascii="Lato" w:hAnsi="Lato"/>
          <w:b/>
          <w:color w:val="555555"/>
          <w:sz w:val="38"/>
          <w:szCs w:val="38"/>
        </w:rPr>
        <w:t>Norme antincendio nei condomini: le novità principali</w:t>
      </w:r>
    </w:p>
    <w:p w14:paraId="309C40CC"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lastRenderedPageBreak/>
        <w:t>Il decreto contiene prescrizioni volte ad ostacolare la </w:t>
      </w:r>
      <w:r w:rsidRPr="008A24B8">
        <w:rPr>
          <w:rFonts w:ascii="Lato" w:hAnsi="Lato"/>
          <w:b/>
          <w:color w:val="777777"/>
          <w:sz w:val="27"/>
          <w:szCs w:val="27"/>
        </w:rPr>
        <w:t>propagazione</w:t>
      </w:r>
      <w:r w:rsidRPr="008A24B8">
        <w:rPr>
          <w:rFonts w:ascii="Lato" w:hAnsi="Lato"/>
          <w:bCs w:val="0"/>
          <w:color w:val="777777"/>
          <w:sz w:val="27"/>
          <w:szCs w:val="27"/>
        </w:rPr>
        <w:t> di un eventuale incendio attraverso le facciate, elementi sensibili dal punto di vista della sicurezza incendio, ossia devono:</w:t>
      </w:r>
    </w:p>
    <w:p w14:paraId="756EA786" w14:textId="77777777" w:rsidR="008A24B8" w:rsidRPr="008A24B8" w:rsidRDefault="008A24B8" w:rsidP="008A24B8">
      <w:pPr>
        <w:numPr>
          <w:ilvl w:val="0"/>
          <w:numId w:val="6"/>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limitare la probabilità di propagazione di un incendio originato all’interno dell’edificio, con coinvolgimento di altri compartimenti;</w:t>
      </w:r>
    </w:p>
    <w:p w14:paraId="311DC295" w14:textId="77777777" w:rsidR="008A24B8" w:rsidRPr="008A24B8" w:rsidRDefault="008A24B8" w:rsidP="008A24B8">
      <w:pPr>
        <w:numPr>
          <w:ilvl w:val="0"/>
          <w:numId w:val="6"/>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limitare la probabilità di un incendio di una </w:t>
      </w:r>
      <w:r w:rsidRPr="008A24B8">
        <w:rPr>
          <w:rFonts w:ascii="Lato" w:hAnsi="Lato"/>
          <w:b/>
          <w:color w:val="777777"/>
          <w:sz w:val="27"/>
          <w:szCs w:val="27"/>
        </w:rPr>
        <w:t>facciata</w:t>
      </w:r>
      <w:r w:rsidRPr="008A24B8">
        <w:rPr>
          <w:rFonts w:ascii="Lato" w:hAnsi="Lato"/>
          <w:bCs w:val="0"/>
          <w:color w:val="777777"/>
          <w:sz w:val="27"/>
          <w:szCs w:val="27"/>
        </w:rPr>
        <w:t> e la successiva propagazione dello stesso a causa di un fuoco avente origine esterna;</w:t>
      </w:r>
    </w:p>
    <w:p w14:paraId="5DBE8E31" w14:textId="77777777" w:rsidR="008A24B8" w:rsidRPr="008A24B8" w:rsidRDefault="008A24B8" w:rsidP="008A24B8">
      <w:pPr>
        <w:numPr>
          <w:ilvl w:val="0"/>
          <w:numId w:val="6"/>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evitare o limitare, in caso di incendio, la caduta di parti di facciata, che possono compromettere l’esodo nel cadere, possano ostacolare l’esodo in sicurezza;</w:t>
      </w:r>
    </w:p>
    <w:p w14:paraId="7261D340"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Viene, inoltre, chiarito che le nuove </w:t>
      </w:r>
      <w:r w:rsidRPr="008A24B8">
        <w:rPr>
          <w:rFonts w:ascii="Lato" w:hAnsi="Lato"/>
          <w:b/>
          <w:color w:val="777777"/>
          <w:sz w:val="27"/>
          <w:szCs w:val="27"/>
        </w:rPr>
        <w:t>disposizioni</w:t>
      </w:r>
      <w:r w:rsidRPr="008A24B8">
        <w:rPr>
          <w:rFonts w:ascii="Lato" w:hAnsi="Lato"/>
          <w:bCs w:val="0"/>
          <w:color w:val="777777"/>
          <w:sz w:val="27"/>
          <w:szCs w:val="27"/>
        </w:rPr>
        <w:t> progettuali si applicano a:</w:t>
      </w:r>
    </w:p>
    <w:p w14:paraId="2DF23C35" w14:textId="77777777" w:rsidR="008A24B8" w:rsidRPr="008A24B8" w:rsidRDefault="008A24B8" w:rsidP="008A24B8">
      <w:pPr>
        <w:numPr>
          <w:ilvl w:val="0"/>
          <w:numId w:val="7"/>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edifici di civile </w:t>
      </w:r>
      <w:r w:rsidRPr="008A24B8">
        <w:rPr>
          <w:rFonts w:ascii="Lato" w:hAnsi="Lato"/>
          <w:b/>
          <w:color w:val="777777"/>
          <w:sz w:val="27"/>
          <w:szCs w:val="27"/>
        </w:rPr>
        <w:t>abitazione</w:t>
      </w:r>
      <w:r w:rsidRPr="008A24B8">
        <w:rPr>
          <w:rFonts w:ascii="Lato" w:hAnsi="Lato"/>
          <w:bCs w:val="0"/>
          <w:color w:val="777777"/>
          <w:sz w:val="27"/>
          <w:szCs w:val="27"/>
        </w:rPr>
        <w:t> di nuova realizzazione;</w:t>
      </w:r>
    </w:p>
    <w:p w14:paraId="40FC7DC4" w14:textId="77777777" w:rsidR="008A24B8" w:rsidRPr="008A24B8" w:rsidRDefault="008A24B8" w:rsidP="008A24B8">
      <w:pPr>
        <w:numPr>
          <w:ilvl w:val="0"/>
          <w:numId w:val="7"/>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edifici esistenti oggetti di interventi </w:t>
      </w:r>
      <w:r w:rsidRPr="008A24B8">
        <w:rPr>
          <w:rFonts w:ascii="Lato" w:hAnsi="Lato"/>
          <w:b/>
          <w:color w:val="777777"/>
          <w:sz w:val="27"/>
          <w:szCs w:val="27"/>
        </w:rPr>
        <w:t>successivi</w:t>
      </w:r>
      <w:r w:rsidRPr="008A24B8">
        <w:rPr>
          <w:rFonts w:ascii="Lato" w:hAnsi="Lato"/>
          <w:bCs w:val="0"/>
          <w:color w:val="777777"/>
          <w:sz w:val="27"/>
          <w:szCs w:val="27"/>
        </w:rPr>
        <w:t> alla data di entrata in vigore del decreto comportanti la realizzazione o il rifacimento delle facciate per una superficie superiore al 50%della superficie complessiva delle facciate.</w:t>
      </w:r>
    </w:p>
    <w:p w14:paraId="3171B11B"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Il decreto che contiene nuove regole di </w:t>
      </w:r>
      <w:r w:rsidRPr="008A24B8">
        <w:rPr>
          <w:rFonts w:ascii="Lato" w:hAnsi="Lato"/>
          <w:b/>
          <w:color w:val="777777"/>
          <w:sz w:val="27"/>
          <w:szCs w:val="27"/>
        </w:rPr>
        <w:t>prevenzione incendi per i condomini</w:t>
      </w:r>
      <w:r w:rsidRPr="008A24B8">
        <w:rPr>
          <w:rFonts w:ascii="Lato" w:hAnsi="Lato"/>
          <w:bCs w:val="0"/>
          <w:color w:val="777777"/>
          <w:sz w:val="27"/>
          <w:szCs w:val="27"/>
        </w:rPr>
        <w:t>,  è entrato in vigore 90 giorni dalla data di pubblicazione in Gazzetta, vale a dire il 6 maggio 2019.</w:t>
      </w:r>
    </w:p>
    <w:p w14:paraId="71A417AC"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Invece, per mettersi in regola e adottare le </w:t>
      </w:r>
      <w:r w:rsidRPr="008A24B8">
        <w:rPr>
          <w:rFonts w:ascii="Lato" w:hAnsi="Lato"/>
          <w:b/>
          <w:color w:val="777777"/>
          <w:sz w:val="27"/>
          <w:szCs w:val="27"/>
        </w:rPr>
        <w:t>misure organizzativo-gestionali</w:t>
      </w:r>
      <w:r w:rsidRPr="008A24B8">
        <w:rPr>
          <w:rFonts w:ascii="Lato" w:hAnsi="Lato"/>
          <w:bCs w:val="0"/>
          <w:color w:val="777777"/>
          <w:sz w:val="27"/>
          <w:szCs w:val="27"/>
        </w:rPr>
        <w:t>, calibrate in funzione dell’altezza degli edifici, previste nella nuova norma, i condomìni esistenti (di altezza antincendio pari o superiore a 12 metri) avranno</w:t>
      </w:r>
      <w:r w:rsidRPr="008A24B8">
        <w:rPr>
          <w:rFonts w:ascii="Lato" w:hAnsi="Lato"/>
          <w:b/>
          <w:color w:val="777777"/>
          <w:sz w:val="27"/>
          <w:szCs w:val="27"/>
        </w:rPr>
        <w:t> un anno di tempo. </w:t>
      </w:r>
    </w:p>
    <w:p w14:paraId="3F2D0A89" w14:textId="77777777" w:rsidR="008A24B8" w:rsidRPr="008A24B8" w:rsidRDefault="008A24B8" w:rsidP="008A24B8">
      <w:pPr>
        <w:shd w:val="clear" w:color="auto" w:fill="FFFFFF"/>
        <w:overflowPunct/>
        <w:autoSpaceDE/>
        <w:autoSpaceDN/>
        <w:adjustRightInd/>
        <w:spacing w:after="120"/>
        <w:textAlignment w:val="auto"/>
        <w:outlineLvl w:val="2"/>
        <w:rPr>
          <w:rFonts w:ascii="Lato" w:hAnsi="Lato"/>
          <w:b/>
          <w:color w:val="555555"/>
          <w:sz w:val="30"/>
          <w:szCs w:val="30"/>
        </w:rPr>
      </w:pPr>
      <w:r w:rsidRPr="008A24B8">
        <w:rPr>
          <w:rFonts w:ascii="Lato" w:hAnsi="Lato"/>
          <w:b/>
          <w:color w:val="555555"/>
          <w:sz w:val="30"/>
          <w:szCs w:val="30"/>
        </w:rPr>
        <w:t>Adeguamenti previsti</w:t>
      </w:r>
    </w:p>
    <w:p w14:paraId="3DF9F6B9"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Alcuni tra gli </w:t>
      </w:r>
      <w:r w:rsidRPr="008A24B8">
        <w:rPr>
          <w:rFonts w:ascii="Lato" w:hAnsi="Lato"/>
          <w:b/>
          <w:color w:val="777777"/>
          <w:sz w:val="27"/>
          <w:szCs w:val="27"/>
        </w:rPr>
        <w:t>adeguamenti</w:t>
      </w:r>
      <w:r w:rsidRPr="008A24B8">
        <w:rPr>
          <w:rFonts w:ascii="Lato" w:hAnsi="Lato"/>
          <w:bCs w:val="0"/>
          <w:color w:val="777777"/>
          <w:sz w:val="27"/>
          <w:szCs w:val="27"/>
        </w:rPr>
        <w:t> per la prevenzione antincendio contenuti nel Decreto del Ministro dell’interno del 25 gennaio 2019 sono:</w:t>
      </w:r>
      <w:r w:rsidRPr="008A24B8">
        <w:rPr>
          <w:rFonts w:ascii="Lato" w:hAnsi="Lato"/>
          <w:bCs w:val="0"/>
          <w:color w:val="777777"/>
          <w:sz w:val="27"/>
          <w:szCs w:val="27"/>
        </w:rPr>
        <w:br/>
        <w:t>– </w:t>
      </w:r>
      <w:r w:rsidRPr="008A24B8">
        <w:rPr>
          <w:rFonts w:ascii="Lato" w:hAnsi="Lato"/>
          <w:b/>
          <w:color w:val="777777"/>
          <w:sz w:val="27"/>
          <w:szCs w:val="27"/>
        </w:rPr>
        <w:t>informare gli occupanti</w:t>
      </w:r>
      <w:r w:rsidRPr="008A24B8">
        <w:rPr>
          <w:rFonts w:ascii="Lato" w:hAnsi="Lato"/>
          <w:bCs w:val="0"/>
          <w:color w:val="777777"/>
          <w:sz w:val="27"/>
          <w:szCs w:val="27"/>
        </w:rPr>
        <w:t> dei </w:t>
      </w:r>
      <w:r w:rsidRPr="008A24B8">
        <w:rPr>
          <w:rFonts w:ascii="Lato" w:hAnsi="Lato"/>
          <w:b/>
          <w:color w:val="777777"/>
          <w:sz w:val="27"/>
          <w:szCs w:val="27"/>
        </w:rPr>
        <w:t>comportamenti</w:t>
      </w:r>
      <w:r w:rsidRPr="008A24B8">
        <w:rPr>
          <w:rFonts w:ascii="Lato" w:hAnsi="Lato"/>
          <w:bCs w:val="0"/>
          <w:color w:val="777777"/>
          <w:sz w:val="27"/>
          <w:szCs w:val="27"/>
        </w:rPr>
        <w:t> da tenere in caso di emergenza per i condomìni di altezza antincendio compresa tra </w:t>
      </w:r>
      <w:r w:rsidRPr="008A24B8">
        <w:rPr>
          <w:rFonts w:ascii="Lato" w:hAnsi="Lato"/>
          <w:b/>
          <w:color w:val="777777"/>
          <w:sz w:val="27"/>
          <w:szCs w:val="27"/>
        </w:rPr>
        <w:t>12 e 24 metri</w:t>
      </w:r>
      <w:r w:rsidRPr="008A24B8">
        <w:rPr>
          <w:rFonts w:ascii="Lato" w:hAnsi="Lato"/>
          <w:bCs w:val="0"/>
          <w:color w:val="777777"/>
          <w:sz w:val="27"/>
          <w:szCs w:val="27"/>
        </w:rPr>
        <w:t>;</w:t>
      </w:r>
      <w:r w:rsidRPr="008A24B8">
        <w:rPr>
          <w:rFonts w:ascii="Lato" w:hAnsi="Lato"/>
          <w:bCs w:val="0"/>
          <w:color w:val="777777"/>
          <w:sz w:val="27"/>
          <w:szCs w:val="27"/>
        </w:rPr>
        <w:br/>
      </w:r>
      <w:r w:rsidRPr="008A24B8">
        <w:rPr>
          <w:rFonts w:ascii="Lato" w:hAnsi="Lato"/>
          <w:bCs w:val="0"/>
          <w:color w:val="777777"/>
          <w:sz w:val="27"/>
          <w:szCs w:val="27"/>
        </w:rPr>
        <w:lastRenderedPageBreak/>
        <w:t>– </w:t>
      </w:r>
      <w:r w:rsidRPr="008A24B8">
        <w:rPr>
          <w:rFonts w:ascii="Lato" w:hAnsi="Lato"/>
          <w:b/>
          <w:color w:val="777777"/>
          <w:sz w:val="27"/>
          <w:szCs w:val="27"/>
        </w:rPr>
        <w:t>predisporre indicazioni </w:t>
      </w:r>
      <w:r w:rsidRPr="008A24B8">
        <w:rPr>
          <w:rFonts w:ascii="Lato" w:hAnsi="Lato"/>
          <w:bCs w:val="0"/>
          <w:color w:val="777777"/>
          <w:sz w:val="27"/>
          <w:szCs w:val="27"/>
        </w:rPr>
        <w:t>per le vie di esodo, le porte tagliafuoco, le sorgenti di possibile innesco, valutazione dei rischi in edifici con altezza compresa tra </w:t>
      </w:r>
      <w:r w:rsidRPr="008A24B8">
        <w:rPr>
          <w:rFonts w:ascii="Lato" w:hAnsi="Lato"/>
          <w:b/>
          <w:color w:val="777777"/>
          <w:sz w:val="27"/>
          <w:szCs w:val="27"/>
        </w:rPr>
        <w:t>24 e 50 metri devono </w:t>
      </w:r>
      <w:r w:rsidRPr="008A24B8">
        <w:rPr>
          <w:rFonts w:ascii="Lato" w:hAnsi="Lato"/>
          <w:bCs w:val="0"/>
          <w:color w:val="777777"/>
          <w:sz w:val="27"/>
          <w:szCs w:val="27"/>
        </w:rPr>
        <w:t>.</w:t>
      </w:r>
      <w:r w:rsidRPr="008A24B8">
        <w:rPr>
          <w:rFonts w:ascii="Lato" w:hAnsi="Lato"/>
          <w:bCs w:val="0"/>
          <w:color w:val="777777"/>
          <w:sz w:val="27"/>
          <w:szCs w:val="27"/>
        </w:rPr>
        <w:br/>
        <w:t>– obbligo di </w:t>
      </w:r>
      <w:r w:rsidRPr="008A24B8">
        <w:rPr>
          <w:rFonts w:ascii="Lato" w:hAnsi="Lato"/>
          <w:b/>
          <w:color w:val="777777"/>
          <w:sz w:val="27"/>
          <w:szCs w:val="27"/>
        </w:rPr>
        <w:t>installare un impianto di segnalazione manuale antincendio</w:t>
      </w:r>
      <w:r w:rsidRPr="008A24B8">
        <w:rPr>
          <w:rFonts w:ascii="Lato" w:hAnsi="Lato"/>
          <w:bCs w:val="0"/>
          <w:color w:val="777777"/>
          <w:sz w:val="27"/>
          <w:szCs w:val="27"/>
        </w:rPr>
        <w:t> con indicatori di tipo ottico ed acustico nei condomìni con altezza che varia tra i</w:t>
      </w:r>
      <w:r w:rsidRPr="008A24B8">
        <w:rPr>
          <w:rFonts w:ascii="Lato" w:hAnsi="Lato"/>
          <w:b/>
          <w:color w:val="777777"/>
          <w:sz w:val="27"/>
          <w:szCs w:val="27"/>
        </w:rPr>
        <w:t> 50 e gli 80 metri</w:t>
      </w:r>
      <w:r w:rsidRPr="008A24B8">
        <w:rPr>
          <w:rFonts w:ascii="Lato" w:hAnsi="Lato"/>
          <w:bCs w:val="0"/>
          <w:color w:val="777777"/>
          <w:sz w:val="27"/>
          <w:szCs w:val="27"/>
        </w:rPr>
        <w:t>.</w:t>
      </w:r>
    </w:p>
    <w:p w14:paraId="397ADF97"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più specificatamente:</w:t>
      </w:r>
    </w:p>
    <w:p w14:paraId="39E0692A" w14:textId="77777777" w:rsidR="008A24B8" w:rsidRPr="008A24B8" w:rsidRDefault="008A24B8" w:rsidP="008A24B8">
      <w:pPr>
        <w:numPr>
          <w:ilvl w:val="0"/>
          <w:numId w:val="8"/>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
          <w:color w:val="777777"/>
          <w:sz w:val="27"/>
          <w:szCs w:val="27"/>
        </w:rPr>
        <w:t>L.P.0</w:t>
      </w:r>
      <w:r w:rsidRPr="008A24B8">
        <w:rPr>
          <w:rFonts w:ascii="Lato" w:hAnsi="Lato"/>
          <w:bCs w:val="0"/>
          <w:color w:val="777777"/>
          <w:sz w:val="27"/>
          <w:szCs w:val="27"/>
        </w:rPr>
        <w:t> è il livello di prestazione corrispondente ad edifici con </w:t>
      </w:r>
      <w:r w:rsidRPr="008A24B8">
        <w:rPr>
          <w:rFonts w:ascii="Lato" w:hAnsi="Lato"/>
          <w:b/>
          <w:color w:val="777777"/>
          <w:sz w:val="27"/>
          <w:szCs w:val="27"/>
        </w:rPr>
        <w:t>altezza antincendi tra i 12 e i 24 metri:</w:t>
      </w:r>
    </w:p>
    <w:p w14:paraId="712F4AC5"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Nel Livello di Prestazione “0” il responsabile dell’attività è comunque il titolare di compiti e funzioni primarie ai fini della sicurezza antincendi come </w:t>
      </w:r>
      <w:r w:rsidRPr="008A24B8">
        <w:rPr>
          <w:rFonts w:ascii="Lato" w:hAnsi="Lato"/>
          <w:b/>
          <w:color w:val="777777"/>
          <w:sz w:val="27"/>
          <w:szCs w:val="27"/>
        </w:rPr>
        <w:t>l’identificazione e la garanzia delle informazioni agli occupanti</w:t>
      </w:r>
      <w:r w:rsidRPr="008A24B8">
        <w:rPr>
          <w:rFonts w:ascii="Lato" w:hAnsi="Lato"/>
          <w:bCs w:val="0"/>
          <w:color w:val="777777"/>
          <w:sz w:val="27"/>
          <w:szCs w:val="27"/>
        </w:rPr>
        <w:t> sulle misure da attuare in caso di incendio, nonché la responsabilità di </w:t>
      </w:r>
      <w:r w:rsidRPr="008A24B8">
        <w:rPr>
          <w:rFonts w:ascii="Lato" w:hAnsi="Lato"/>
          <w:b/>
          <w:color w:val="777777"/>
          <w:sz w:val="27"/>
          <w:szCs w:val="27"/>
        </w:rPr>
        <w:t>mantenere in efficienza i sistemi antincendi</w:t>
      </w:r>
      <w:r w:rsidRPr="008A24B8">
        <w:rPr>
          <w:rFonts w:ascii="Lato" w:hAnsi="Lato"/>
          <w:bCs w:val="0"/>
          <w:color w:val="777777"/>
          <w:sz w:val="27"/>
          <w:szCs w:val="27"/>
        </w:rPr>
        <w:t> adottati.</w:t>
      </w:r>
    </w:p>
    <w:p w14:paraId="3E545197" w14:textId="77777777" w:rsidR="008A24B8" w:rsidRPr="008A24B8" w:rsidRDefault="008A24B8" w:rsidP="008A24B8">
      <w:pPr>
        <w:numPr>
          <w:ilvl w:val="0"/>
          <w:numId w:val="9"/>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
          <w:color w:val="777777"/>
          <w:sz w:val="27"/>
          <w:szCs w:val="27"/>
        </w:rPr>
        <w:t>L.P.1</w:t>
      </w:r>
      <w:r w:rsidRPr="008A24B8">
        <w:rPr>
          <w:rFonts w:ascii="Lato" w:hAnsi="Lato"/>
          <w:bCs w:val="0"/>
          <w:color w:val="777777"/>
          <w:sz w:val="27"/>
          <w:szCs w:val="27"/>
        </w:rPr>
        <w:t>, negli edifici con </w:t>
      </w:r>
      <w:r w:rsidRPr="008A24B8">
        <w:rPr>
          <w:rFonts w:ascii="Lato" w:hAnsi="Lato"/>
          <w:b/>
          <w:color w:val="777777"/>
          <w:sz w:val="27"/>
          <w:szCs w:val="27"/>
        </w:rPr>
        <w:t>altezza antincendi tra i 24 e i 54 metri:</w:t>
      </w:r>
    </w:p>
    <w:p w14:paraId="43CAE898"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Questo livello di altezza, necessita dell’istituzione della </w:t>
      </w:r>
      <w:r w:rsidRPr="008A24B8">
        <w:rPr>
          <w:rFonts w:ascii="Lato" w:hAnsi="Lato"/>
          <w:b/>
          <w:color w:val="777777"/>
          <w:sz w:val="27"/>
          <w:szCs w:val="27"/>
        </w:rPr>
        <w:t>Gestione della Sicurezza Antincendio (GSA)</w:t>
      </w:r>
      <w:r w:rsidRPr="008A24B8">
        <w:rPr>
          <w:rFonts w:ascii="Lato" w:hAnsi="Lato"/>
          <w:bCs w:val="0"/>
          <w:color w:val="777777"/>
          <w:sz w:val="27"/>
          <w:szCs w:val="27"/>
        </w:rPr>
        <w:t> a cui deve ottemperare il </w:t>
      </w:r>
      <w:r w:rsidRPr="008A24B8">
        <w:rPr>
          <w:rFonts w:ascii="Lato" w:hAnsi="Lato"/>
          <w:b/>
          <w:color w:val="777777"/>
          <w:sz w:val="27"/>
          <w:szCs w:val="27"/>
        </w:rPr>
        <w:t>Responsabile dell’attività (</w:t>
      </w:r>
      <w:proofErr w:type="spellStart"/>
      <w:r w:rsidRPr="008A24B8">
        <w:rPr>
          <w:rFonts w:ascii="Lato" w:hAnsi="Lato"/>
          <w:b/>
          <w:color w:val="777777"/>
          <w:sz w:val="27"/>
          <w:szCs w:val="27"/>
        </w:rPr>
        <w:t>RdA</w:t>
      </w:r>
      <w:proofErr w:type="spellEnd"/>
      <w:r w:rsidRPr="008A24B8">
        <w:rPr>
          <w:rFonts w:ascii="Lato" w:hAnsi="Lato"/>
          <w:b/>
          <w:color w:val="777777"/>
          <w:sz w:val="27"/>
          <w:szCs w:val="27"/>
        </w:rPr>
        <w:t>)</w:t>
      </w:r>
      <w:r w:rsidRPr="008A24B8">
        <w:rPr>
          <w:rFonts w:ascii="Lato" w:hAnsi="Lato"/>
          <w:bCs w:val="0"/>
          <w:color w:val="777777"/>
          <w:sz w:val="27"/>
          <w:szCs w:val="27"/>
        </w:rPr>
        <w:t>. Egli deve produrre sia la gestione della sicurezza in condizioni ordinarie che in quelle di emergenza. La predisposizione può essere limitata all’informazione agli occupanti sui comportamenti da tenere con informazioni trasmesse </w:t>
      </w:r>
      <w:r w:rsidRPr="008A24B8">
        <w:rPr>
          <w:rFonts w:ascii="Lato" w:hAnsi="Lato"/>
          <w:b/>
          <w:color w:val="777777"/>
          <w:sz w:val="27"/>
          <w:szCs w:val="27"/>
        </w:rPr>
        <w:t>anche semplicemente con avvisi in bacheca.</w:t>
      </w:r>
    </w:p>
    <w:p w14:paraId="5A49E7C8" w14:textId="77777777" w:rsidR="008A24B8" w:rsidRPr="008A24B8" w:rsidRDefault="008A24B8" w:rsidP="008A24B8">
      <w:pPr>
        <w:numPr>
          <w:ilvl w:val="0"/>
          <w:numId w:val="10"/>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
          <w:color w:val="777777"/>
          <w:sz w:val="27"/>
          <w:szCs w:val="27"/>
        </w:rPr>
        <w:t> L.P.2</w:t>
      </w:r>
      <w:r w:rsidRPr="008A24B8">
        <w:rPr>
          <w:rFonts w:ascii="Lato" w:hAnsi="Lato"/>
          <w:bCs w:val="0"/>
          <w:color w:val="777777"/>
          <w:sz w:val="27"/>
          <w:szCs w:val="27"/>
        </w:rPr>
        <w:t>, </w:t>
      </w:r>
      <w:r w:rsidRPr="008A24B8">
        <w:rPr>
          <w:rFonts w:ascii="Lato" w:hAnsi="Lato"/>
          <w:b/>
          <w:color w:val="777777"/>
          <w:sz w:val="27"/>
          <w:szCs w:val="27"/>
        </w:rPr>
        <w:t>altezza antincendi tra i 54 e i 80 metri:</w:t>
      </w:r>
    </w:p>
    <w:p w14:paraId="604DD851"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In questo caso, devono essere garantite le medesime condizioni del livello di prestazione “1” nonché prevedere </w:t>
      </w:r>
      <w:r w:rsidRPr="008A24B8">
        <w:rPr>
          <w:rFonts w:ascii="Lato" w:hAnsi="Lato"/>
          <w:b/>
          <w:color w:val="777777"/>
          <w:sz w:val="27"/>
          <w:szCs w:val="27"/>
        </w:rPr>
        <w:t>l’installazione di impianto di segnalazione manuale di allarme</w:t>
      </w:r>
      <w:r w:rsidRPr="008A24B8">
        <w:rPr>
          <w:rFonts w:ascii="Lato" w:hAnsi="Lato"/>
          <w:bCs w:val="0"/>
          <w:color w:val="777777"/>
          <w:sz w:val="27"/>
          <w:szCs w:val="27"/>
        </w:rPr>
        <w:t> con indicatori ottici ed acustici. Questa installazione è il requisito richiesto alla </w:t>
      </w:r>
      <w:r w:rsidRPr="008A24B8">
        <w:rPr>
          <w:rFonts w:ascii="Lato" w:hAnsi="Lato"/>
          <w:b/>
          <w:color w:val="777777"/>
          <w:sz w:val="27"/>
          <w:szCs w:val="27"/>
        </w:rPr>
        <w:t>seconda scadenza prevista per il maggio 2021</w:t>
      </w:r>
      <w:r w:rsidRPr="008A24B8">
        <w:rPr>
          <w:rFonts w:ascii="Lato" w:hAnsi="Lato"/>
          <w:bCs w:val="0"/>
          <w:color w:val="777777"/>
          <w:sz w:val="27"/>
          <w:szCs w:val="27"/>
        </w:rPr>
        <w:t>.  Devono essere predisposte le misure antincendio preventive come la pianificazione dell’emergenza contenente le procedure di attivazione e diffusione dell’allarme.</w:t>
      </w:r>
    </w:p>
    <w:p w14:paraId="25709483" w14:textId="77777777" w:rsidR="008A24B8" w:rsidRPr="008A24B8" w:rsidRDefault="008A24B8" w:rsidP="008A24B8">
      <w:pPr>
        <w:numPr>
          <w:ilvl w:val="0"/>
          <w:numId w:val="11"/>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
          <w:color w:val="777777"/>
          <w:sz w:val="27"/>
          <w:szCs w:val="27"/>
        </w:rPr>
        <w:lastRenderedPageBreak/>
        <w:t>L.P.3, altezza antincendi maggiore di 80 metri:</w:t>
      </w:r>
    </w:p>
    <w:p w14:paraId="6AFE2D72" w14:textId="77777777" w:rsidR="008A24B8" w:rsidRPr="008A24B8" w:rsidRDefault="008A24B8" w:rsidP="008A24B8">
      <w:pPr>
        <w:shd w:val="clear" w:color="auto" w:fill="FFFFFF"/>
        <w:overflowPunct/>
        <w:autoSpaceDE/>
        <w:autoSpaceDN/>
        <w:adjustRightInd/>
        <w:spacing w:after="312"/>
        <w:textAlignment w:val="auto"/>
        <w:rPr>
          <w:rFonts w:ascii="Lato" w:hAnsi="Lato"/>
          <w:bCs w:val="0"/>
          <w:color w:val="777777"/>
          <w:sz w:val="27"/>
          <w:szCs w:val="27"/>
        </w:rPr>
      </w:pPr>
      <w:r w:rsidRPr="008A24B8">
        <w:rPr>
          <w:rFonts w:ascii="Lato" w:hAnsi="Lato"/>
          <w:bCs w:val="0"/>
          <w:color w:val="777777"/>
          <w:sz w:val="27"/>
          <w:szCs w:val="27"/>
        </w:rPr>
        <w:t>oltre alle caratteristiche del Livello di Prestazione “2”, il Responsabile dell’attività:</w:t>
      </w:r>
    </w:p>
    <w:p w14:paraId="34224FAC" w14:textId="77777777" w:rsidR="008A24B8" w:rsidRPr="008A24B8" w:rsidRDefault="008A24B8" w:rsidP="008A24B8">
      <w:pPr>
        <w:numPr>
          <w:ilvl w:val="0"/>
          <w:numId w:val="12"/>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organizza la Gestione della Sicurezza Antincendi (GSA),</w:t>
      </w:r>
    </w:p>
    <w:p w14:paraId="23574AA2" w14:textId="77777777" w:rsidR="008A24B8" w:rsidRPr="008A24B8" w:rsidRDefault="008A24B8" w:rsidP="008A24B8">
      <w:pPr>
        <w:numPr>
          <w:ilvl w:val="0"/>
          <w:numId w:val="12"/>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predispone il Centro di Gestione dell’Emergenza,</w:t>
      </w:r>
    </w:p>
    <w:p w14:paraId="66D6F7D3" w14:textId="77777777" w:rsidR="008A24B8" w:rsidRPr="008A24B8" w:rsidRDefault="008A24B8" w:rsidP="008A24B8">
      <w:pPr>
        <w:numPr>
          <w:ilvl w:val="0"/>
          <w:numId w:val="12"/>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designa il Responsabile del GSA,</w:t>
      </w:r>
    </w:p>
    <w:p w14:paraId="5FEE44B9" w14:textId="77777777" w:rsidR="008A24B8" w:rsidRPr="008A24B8" w:rsidRDefault="008A24B8" w:rsidP="008A24B8">
      <w:pPr>
        <w:numPr>
          <w:ilvl w:val="0"/>
          <w:numId w:val="12"/>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designa il Coordinatore dell’emergenza,</w:t>
      </w:r>
    </w:p>
    <w:p w14:paraId="52CF5CB3" w14:textId="77777777" w:rsidR="008A24B8" w:rsidRPr="008A24B8" w:rsidRDefault="008A24B8" w:rsidP="008A24B8">
      <w:pPr>
        <w:numPr>
          <w:ilvl w:val="0"/>
          <w:numId w:val="12"/>
        </w:numPr>
        <w:shd w:val="clear" w:color="auto" w:fill="FFFFFF"/>
        <w:overflowPunct/>
        <w:autoSpaceDE/>
        <w:autoSpaceDN/>
        <w:adjustRightInd/>
        <w:spacing w:before="100" w:beforeAutospacing="1" w:after="144"/>
        <w:ind w:left="1032"/>
        <w:textAlignment w:val="auto"/>
        <w:rPr>
          <w:rFonts w:ascii="Lato" w:hAnsi="Lato"/>
          <w:bCs w:val="0"/>
          <w:color w:val="777777"/>
          <w:sz w:val="27"/>
          <w:szCs w:val="27"/>
        </w:rPr>
      </w:pPr>
      <w:r w:rsidRPr="008A24B8">
        <w:rPr>
          <w:rFonts w:ascii="Lato" w:hAnsi="Lato"/>
          <w:bCs w:val="0"/>
          <w:color w:val="777777"/>
          <w:sz w:val="27"/>
          <w:szCs w:val="27"/>
        </w:rPr>
        <w:t>prevede l’installazione dell’impianto EVAC.</w:t>
      </w:r>
    </w:p>
    <w:p w14:paraId="10DD9F8A" w14:textId="77777777" w:rsidR="000D0B52" w:rsidRDefault="000D0B52"/>
    <w:p w14:paraId="57D9D229" w14:textId="4F2D76E6" w:rsidR="00CA5588" w:rsidRPr="00CA5588" w:rsidRDefault="00B36FC8" w:rsidP="00173003">
      <w:pPr>
        <w:keepNext/>
        <w:tabs>
          <w:tab w:val="left" w:pos="5670"/>
        </w:tabs>
        <w:jc w:val="both"/>
        <w:textAlignment w:val="auto"/>
        <w:rPr>
          <w:rFonts w:ascii="Calibri" w:eastAsia="Calibri" w:hAnsi="Calibri"/>
          <w:bCs w:val="0"/>
          <w:szCs w:val="22"/>
          <w:lang w:eastAsia="en-US"/>
        </w:rPr>
      </w:pPr>
      <w:r>
        <w:tab/>
      </w:r>
      <w:r w:rsidR="00CA5588" w:rsidRPr="00CA5588">
        <w:rPr>
          <w:rFonts w:ascii="Georgia" w:hAnsi="Georgia"/>
          <w:bCs w:val="0"/>
          <w:sz w:val="20"/>
        </w:rPr>
        <w:tab/>
      </w:r>
    </w:p>
    <w:p w14:paraId="70C3106E" w14:textId="623F3AF2" w:rsidR="00173003" w:rsidRPr="00173003" w:rsidRDefault="00173003" w:rsidP="00173003">
      <w:pPr>
        <w:overflowPunct/>
        <w:autoSpaceDE/>
        <w:autoSpaceDN/>
        <w:adjustRightInd/>
        <w:jc w:val="both"/>
        <w:textAlignment w:val="auto"/>
        <w:rPr>
          <w:rFonts w:ascii="Calibri" w:eastAsia="Calibri" w:hAnsi="Calibri"/>
          <w:bCs w:val="0"/>
          <w:szCs w:val="22"/>
          <w:lang w:eastAsia="en-US"/>
        </w:rPr>
      </w:pPr>
    </w:p>
    <w:p w14:paraId="065A4593" w14:textId="77777777" w:rsidR="00173003" w:rsidRPr="00173003" w:rsidRDefault="00173003" w:rsidP="00173003">
      <w:pPr>
        <w:overflowPunct/>
        <w:autoSpaceDE/>
        <w:autoSpaceDN/>
        <w:adjustRightInd/>
        <w:jc w:val="both"/>
        <w:textAlignment w:val="auto"/>
        <w:rPr>
          <w:rFonts w:ascii="Calibri" w:eastAsia="Calibri" w:hAnsi="Calibri"/>
          <w:bCs w:val="0"/>
          <w:szCs w:val="22"/>
          <w:lang w:eastAsia="en-US"/>
        </w:rPr>
      </w:pPr>
    </w:p>
    <w:p w14:paraId="502BC462" w14:textId="77777777" w:rsidR="00173003" w:rsidRPr="00173003" w:rsidRDefault="00173003" w:rsidP="00173003">
      <w:pPr>
        <w:overflowPunct/>
        <w:autoSpaceDE/>
        <w:autoSpaceDN/>
        <w:adjustRightInd/>
        <w:jc w:val="both"/>
        <w:textAlignment w:val="auto"/>
        <w:rPr>
          <w:rFonts w:ascii="Calibri" w:eastAsia="Calibri" w:hAnsi="Calibri"/>
          <w:bCs w:val="0"/>
          <w:i/>
          <w:szCs w:val="22"/>
          <w:lang w:eastAsia="en-US"/>
        </w:rPr>
      </w:pPr>
    </w:p>
    <w:p w14:paraId="0C1A6079" w14:textId="77777777" w:rsidR="00173003" w:rsidRPr="00173003" w:rsidRDefault="00173003" w:rsidP="00173003">
      <w:pPr>
        <w:overflowPunct/>
        <w:autoSpaceDE/>
        <w:autoSpaceDN/>
        <w:adjustRightInd/>
        <w:jc w:val="both"/>
        <w:textAlignment w:val="auto"/>
        <w:rPr>
          <w:rFonts w:ascii="Calibri" w:eastAsia="Calibri" w:hAnsi="Calibri"/>
          <w:bCs w:val="0"/>
          <w:i/>
          <w:szCs w:val="22"/>
          <w:lang w:eastAsia="en-US"/>
        </w:rPr>
      </w:pPr>
    </w:p>
    <w:p w14:paraId="6AF3AAB7" w14:textId="77777777" w:rsidR="00173003" w:rsidRPr="00173003" w:rsidRDefault="00173003" w:rsidP="00173003">
      <w:pPr>
        <w:overflowPunct/>
        <w:autoSpaceDE/>
        <w:autoSpaceDN/>
        <w:adjustRightInd/>
        <w:jc w:val="both"/>
        <w:textAlignment w:val="auto"/>
        <w:rPr>
          <w:rFonts w:ascii="Calibri" w:eastAsia="Calibri" w:hAnsi="Calibri"/>
          <w:bCs w:val="0"/>
          <w:i/>
          <w:szCs w:val="22"/>
          <w:lang w:eastAsia="en-US"/>
        </w:rPr>
      </w:pPr>
    </w:p>
    <w:p w14:paraId="20E9277E" w14:textId="77777777" w:rsidR="00173003" w:rsidRPr="00173003" w:rsidRDefault="00173003" w:rsidP="00173003">
      <w:pPr>
        <w:overflowPunct/>
        <w:autoSpaceDE/>
        <w:autoSpaceDN/>
        <w:adjustRightInd/>
        <w:jc w:val="both"/>
        <w:textAlignment w:val="auto"/>
        <w:rPr>
          <w:rFonts w:ascii="Calibri" w:eastAsia="Calibri" w:hAnsi="Calibri"/>
          <w:bCs w:val="0"/>
          <w:szCs w:val="22"/>
          <w:lang w:eastAsia="en-US"/>
        </w:rPr>
      </w:pPr>
    </w:p>
    <w:p w14:paraId="2B9CCDBD" w14:textId="77777777" w:rsidR="00173003" w:rsidRPr="00173003" w:rsidRDefault="00173003" w:rsidP="00173003">
      <w:pPr>
        <w:overflowPunct/>
        <w:autoSpaceDE/>
        <w:autoSpaceDN/>
        <w:adjustRightInd/>
        <w:jc w:val="both"/>
        <w:textAlignment w:val="auto"/>
        <w:rPr>
          <w:rFonts w:ascii="Calibri" w:eastAsia="Calibri" w:hAnsi="Calibri"/>
          <w:bCs w:val="0"/>
          <w:szCs w:val="22"/>
          <w:lang w:eastAsia="en-US"/>
        </w:rPr>
      </w:pPr>
    </w:p>
    <w:p w14:paraId="398D91A5" w14:textId="77777777" w:rsidR="00173003" w:rsidRPr="00173003" w:rsidRDefault="00173003" w:rsidP="00173003">
      <w:pPr>
        <w:overflowPunct/>
        <w:autoSpaceDE/>
        <w:autoSpaceDN/>
        <w:adjustRightInd/>
        <w:jc w:val="both"/>
        <w:textAlignment w:val="auto"/>
        <w:rPr>
          <w:rFonts w:ascii="Calibri" w:eastAsia="Calibri" w:hAnsi="Calibri"/>
          <w:bCs w:val="0"/>
          <w:szCs w:val="22"/>
          <w:lang w:eastAsia="en-US"/>
        </w:rPr>
      </w:pPr>
    </w:p>
    <w:p w14:paraId="362FCA2B" w14:textId="77777777" w:rsidR="00173003" w:rsidRPr="00173003" w:rsidRDefault="00173003" w:rsidP="00173003">
      <w:pPr>
        <w:overflowPunct/>
        <w:autoSpaceDE/>
        <w:autoSpaceDN/>
        <w:adjustRightInd/>
        <w:ind w:left="6372"/>
        <w:jc w:val="both"/>
        <w:textAlignment w:val="auto"/>
        <w:rPr>
          <w:rFonts w:ascii="Calibri" w:eastAsia="Calibri" w:hAnsi="Calibri"/>
          <w:bCs w:val="0"/>
          <w:szCs w:val="22"/>
          <w:lang w:eastAsia="en-US"/>
        </w:rPr>
      </w:pPr>
    </w:p>
    <w:p w14:paraId="7BBAD0DE"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48EBBD19"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r w:rsidRPr="00173003">
        <w:rPr>
          <w:rFonts w:ascii="Calibri" w:eastAsia="Calibri" w:hAnsi="Calibri"/>
          <w:b/>
          <w:bCs w:val="0"/>
          <w:szCs w:val="22"/>
          <w:lang w:eastAsia="en-US"/>
        </w:rPr>
        <w:tab/>
      </w:r>
    </w:p>
    <w:p w14:paraId="16C24A04"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369E3E71"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6FCE375C"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552EBB1B"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7CCCF038"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5D288662"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76B8491F"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16DA1D34"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489F1FF1"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1B994867"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627B67D0"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334A92F2"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4EF41578"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04E88858"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67C35316"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4B5758E5" w14:textId="77777777" w:rsidR="00173003" w:rsidRPr="00173003" w:rsidRDefault="00173003" w:rsidP="00173003">
      <w:pPr>
        <w:overflowPunct/>
        <w:autoSpaceDE/>
        <w:autoSpaceDN/>
        <w:adjustRightInd/>
        <w:jc w:val="center"/>
        <w:textAlignment w:val="auto"/>
        <w:rPr>
          <w:rFonts w:ascii="Calibri" w:eastAsia="Calibri" w:hAnsi="Calibri"/>
          <w:b/>
          <w:bCs w:val="0"/>
          <w:szCs w:val="22"/>
          <w:lang w:eastAsia="en-US"/>
        </w:rPr>
      </w:pPr>
    </w:p>
    <w:p w14:paraId="633828BF" w14:textId="77777777" w:rsidR="00173003" w:rsidRPr="00173003" w:rsidRDefault="00173003" w:rsidP="00173003">
      <w:pPr>
        <w:overflowPunct/>
        <w:autoSpaceDE/>
        <w:autoSpaceDN/>
        <w:adjustRightInd/>
        <w:textAlignment w:val="auto"/>
        <w:rPr>
          <w:rFonts w:ascii="Calibri" w:eastAsia="Calibri" w:hAnsi="Calibri"/>
          <w:bCs w:val="0"/>
          <w:szCs w:val="22"/>
          <w:lang w:eastAsia="en-US"/>
        </w:rPr>
      </w:pPr>
    </w:p>
    <w:p w14:paraId="04A67703" w14:textId="77777777" w:rsidR="00173003" w:rsidRPr="00173003" w:rsidRDefault="00173003" w:rsidP="00173003">
      <w:pPr>
        <w:overflowPunct/>
        <w:autoSpaceDE/>
        <w:autoSpaceDN/>
        <w:adjustRightInd/>
        <w:textAlignment w:val="auto"/>
        <w:rPr>
          <w:rFonts w:ascii="Calibri" w:eastAsia="Calibri" w:hAnsi="Calibri"/>
          <w:bCs w:val="0"/>
          <w:szCs w:val="22"/>
          <w:lang w:eastAsia="en-US"/>
        </w:rPr>
      </w:pPr>
    </w:p>
    <w:p w14:paraId="47A51D1B" w14:textId="5A60522C" w:rsidR="00B36FC8" w:rsidRPr="00B36FC8" w:rsidRDefault="00B36FC8" w:rsidP="00B36FC8">
      <w:pPr>
        <w:tabs>
          <w:tab w:val="left" w:pos="1236"/>
        </w:tabs>
      </w:pPr>
    </w:p>
    <w:sectPr w:rsidR="00B36FC8" w:rsidRPr="00B36FC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0E418" w14:textId="77777777" w:rsidR="00540474" w:rsidRDefault="00540474" w:rsidP="00425D68">
      <w:r>
        <w:separator/>
      </w:r>
    </w:p>
  </w:endnote>
  <w:endnote w:type="continuationSeparator" w:id="0">
    <w:p w14:paraId="1C29AC7A" w14:textId="77777777" w:rsidR="00540474" w:rsidRDefault="00540474" w:rsidP="0042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9AD5" w14:textId="77777777" w:rsidR="005F4DCC" w:rsidRDefault="005F4D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389E" w14:textId="64FEE6AC" w:rsidR="00425D68" w:rsidRPr="002045EB" w:rsidRDefault="00425D68" w:rsidP="00425D68">
    <w:pPr>
      <w:pStyle w:val="Pidipagina"/>
      <w:jc w:val="center"/>
      <w:rPr>
        <w:b/>
        <w:bCs/>
        <w:sz w:val="20"/>
        <w:szCs w:val="20"/>
      </w:rPr>
    </w:pPr>
    <w:r w:rsidRPr="002045EB">
      <w:rPr>
        <w:b/>
        <w:bCs/>
        <w:sz w:val="20"/>
        <w:szCs w:val="20"/>
      </w:rPr>
      <w:t>Via Prinetti 3</w:t>
    </w:r>
    <w:r w:rsidR="000E3E4D" w:rsidRPr="002045EB">
      <w:rPr>
        <w:b/>
        <w:bCs/>
        <w:sz w:val="20"/>
        <w:szCs w:val="20"/>
      </w:rPr>
      <w:t xml:space="preserve"> - </w:t>
    </w:r>
    <w:r w:rsidRPr="002045EB">
      <w:rPr>
        <w:b/>
        <w:bCs/>
        <w:sz w:val="20"/>
        <w:szCs w:val="20"/>
      </w:rPr>
      <w:t xml:space="preserve">20881 </w:t>
    </w:r>
    <w:r w:rsidR="000E3E4D" w:rsidRPr="002045EB">
      <w:rPr>
        <w:b/>
        <w:bCs/>
        <w:sz w:val="20"/>
        <w:szCs w:val="20"/>
      </w:rPr>
      <w:t>– BERNAREGGIO (MB)</w:t>
    </w:r>
    <w:r w:rsidRPr="002045EB">
      <w:rPr>
        <w:b/>
        <w:bCs/>
        <w:sz w:val="20"/>
        <w:szCs w:val="20"/>
      </w:rPr>
      <w:t xml:space="preserve"> </w:t>
    </w:r>
    <w:r w:rsidR="000E3E4D" w:rsidRPr="002045EB">
      <w:rPr>
        <w:b/>
        <w:bCs/>
        <w:sz w:val="20"/>
        <w:szCs w:val="20"/>
      </w:rPr>
      <w:t>- ITALY</w:t>
    </w:r>
  </w:p>
  <w:p w14:paraId="6F7E8399" w14:textId="638B787F" w:rsidR="000E3E4D" w:rsidRPr="002045EB" w:rsidRDefault="00425D68" w:rsidP="00425D68">
    <w:pPr>
      <w:pStyle w:val="Pidipagina"/>
      <w:jc w:val="center"/>
      <w:rPr>
        <w:b/>
        <w:bCs/>
        <w:sz w:val="20"/>
        <w:szCs w:val="20"/>
      </w:rPr>
    </w:pPr>
    <w:r w:rsidRPr="002045EB">
      <w:rPr>
        <w:b/>
        <w:bCs/>
        <w:sz w:val="20"/>
        <w:szCs w:val="20"/>
      </w:rPr>
      <w:t xml:space="preserve">P.IVA 11039040966 </w:t>
    </w:r>
  </w:p>
  <w:p w14:paraId="380AEE3A" w14:textId="46524DBB" w:rsidR="00425D68" w:rsidRPr="002045EB" w:rsidRDefault="00425D68" w:rsidP="00425D68">
    <w:pPr>
      <w:pStyle w:val="Pidipagina"/>
      <w:jc w:val="center"/>
      <w:rPr>
        <w:b/>
        <w:bCs/>
        <w:sz w:val="20"/>
        <w:szCs w:val="20"/>
        <w:lang w:val="fr-FR"/>
      </w:rPr>
    </w:pPr>
    <w:r w:rsidRPr="002045EB">
      <w:rPr>
        <w:b/>
        <w:bCs/>
        <w:sz w:val="20"/>
        <w:szCs w:val="20"/>
        <w:lang w:val="fr-FR"/>
      </w:rPr>
      <w:t>Phone: 329</w:t>
    </w:r>
    <w:r w:rsidR="000E3E4D" w:rsidRPr="002045EB">
      <w:rPr>
        <w:b/>
        <w:bCs/>
        <w:sz w:val="20"/>
        <w:szCs w:val="20"/>
        <w:lang w:val="fr-FR"/>
      </w:rPr>
      <w:t>/</w:t>
    </w:r>
    <w:r w:rsidRPr="002045EB">
      <w:rPr>
        <w:b/>
        <w:bCs/>
        <w:sz w:val="20"/>
        <w:szCs w:val="20"/>
        <w:lang w:val="fr-FR"/>
      </w:rPr>
      <w:t>7628559 – 324</w:t>
    </w:r>
    <w:r w:rsidR="000E3E4D" w:rsidRPr="002045EB">
      <w:rPr>
        <w:b/>
        <w:bCs/>
        <w:sz w:val="20"/>
        <w:szCs w:val="20"/>
        <w:lang w:val="fr-FR"/>
      </w:rPr>
      <w:t>/</w:t>
    </w:r>
    <w:r w:rsidRPr="002045EB">
      <w:rPr>
        <w:b/>
        <w:bCs/>
        <w:sz w:val="20"/>
        <w:szCs w:val="20"/>
        <w:lang w:val="fr-FR"/>
      </w:rPr>
      <w:t>6309378</w:t>
    </w:r>
  </w:p>
  <w:p w14:paraId="5E7CD998" w14:textId="0B63D9A9" w:rsidR="000E3E4D" w:rsidRPr="002045EB" w:rsidRDefault="002045EB" w:rsidP="00425D68">
    <w:pPr>
      <w:pStyle w:val="Pidipagina"/>
      <w:jc w:val="center"/>
      <w:rPr>
        <w:b/>
        <w:bCs/>
        <w:sz w:val="20"/>
        <w:szCs w:val="20"/>
        <w:lang w:val="fr-FR"/>
      </w:rPr>
    </w:pPr>
    <w:r w:rsidRPr="002045EB">
      <w:rPr>
        <w:b/>
        <w:bCs/>
        <w:sz w:val="20"/>
        <w:szCs w:val="20"/>
        <w:lang w:val="fr-FR"/>
      </w:rPr>
      <w:t>E-mail: amministrazione@vn-antincendio.com</w:t>
    </w:r>
  </w:p>
  <w:p w14:paraId="180FFBE3" w14:textId="77777777" w:rsidR="00425D68" w:rsidRPr="002045EB" w:rsidRDefault="00425D68">
    <w:pPr>
      <w:pStyle w:val="Pidipagina"/>
      <w:rPr>
        <w:b/>
        <w:bCs/>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FD2C" w14:textId="77777777" w:rsidR="005F4DCC" w:rsidRDefault="005F4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1A1A" w14:textId="77777777" w:rsidR="00540474" w:rsidRDefault="00540474" w:rsidP="00425D68">
      <w:r>
        <w:separator/>
      </w:r>
    </w:p>
  </w:footnote>
  <w:footnote w:type="continuationSeparator" w:id="0">
    <w:p w14:paraId="60E4F197" w14:textId="77777777" w:rsidR="00540474" w:rsidRDefault="00540474" w:rsidP="0042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D94F" w14:textId="77777777" w:rsidR="005F4DCC" w:rsidRDefault="005F4D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A09D" w14:textId="42A0574F" w:rsidR="00425D68" w:rsidRDefault="00557B7C" w:rsidP="005F4DCC">
    <w:pPr>
      <w:pStyle w:val="Intestazione"/>
      <w:spacing w:before="100" w:beforeAutospacing="1" w:after="100" w:afterAutospacing="1"/>
      <w:jc w:val="center"/>
    </w:pPr>
    <w:r>
      <w:rPr>
        <w:noProof/>
      </w:rPr>
      <w:drawing>
        <wp:anchor distT="0" distB="0" distL="114300" distR="114300" simplePos="0" relativeHeight="251658240" behindDoc="0" locked="0" layoutInCell="1" allowOverlap="1" wp14:anchorId="1C423ECE" wp14:editId="33394BA4">
          <wp:simplePos x="0" y="0"/>
          <wp:positionH relativeFrom="margin">
            <wp:posOffset>1650365</wp:posOffset>
          </wp:positionH>
          <wp:positionV relativeFrom="paragraph">
            <wp:posOffset>-411480</wp:posOffset>
          </wp:positionV>
          <wp:extent cx="2808000" cy="1180800"/>
          <wp:effectExtent l="152400" t="152400" r="354330" b="362585"/>
          <wp:wrapTopAndBottom/>
          <wp:docPr id="1940569215"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69215" name="Immagine 1" descr="Immagine che contiene testo, Carattere, logo, Elementi grafici&#10;&#10;Descrizione generata automaticamente"/>
                  <pic:cNvPicPr/>
                </pic:nvPicPr>
                <pic:blipFill>
                  <a:blip r:embed="rId1">
                    <a:duotone>
                      <a:schemeClr val="accent1">
                        <a:shade val="45000"/>
                        <a:satMod val="135000"/>
                      </a:schemeClr>
                      <a:prstClr val="white"/>
                    </a:duotone>
                    <a:alphaModFix/>
                    <a:extLst>
                      <a:ext uri="{BEBA8EAE-BF5A-486C-A8C5-ECC9F3942E4B}">
                        <a14:imgProps xmlns:a14="http://schemas.microsoft.com/office/drawing/2010/main">
                          <a14:imgLayer r:embed="rId2">
                            <a14:imgEffect>
                              <a14:colorTemperature colorTemp="72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808000" cy="1180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AD1543F" w14:textId="77777777" w:rsidR="00192257" w:rsidRDefault="00192257" w:rsidP="00477022">
    <w:pPr>
      <w:pStyle w:val="Intestazione"/>
      <w:spacing w:before="100" w:beforeAutospacing="1" w:after="100" w:afterAutospacing="1"/>
      <w:ind w:right="11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D566" w14:textId="77777777" w:rsidR="005F4DCC" w:rsidRDefault="005F4D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2640"/>
    <w:multiLevelType w:val="hybridMultilevel"/>
    <w:tmpl w:val="333E4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3287596"/>
    <w:multiLevelType w:val="hybridMultilevel"/>
    <w:tmpl w:val="7D26AD9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5FA1A75"/>
    <w:multiLevelType w:val="multilevel"/>
    <w:tmpl w:val="5454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750EDB"/>
    <w:multiLevelType w:val="multilevel"/>
    <w:tmpl w:val="2A8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0F327B"/>
    <w:multiLevelType w:val="hybridMultilevel"/>
    <w:tmpl w:val="8878EE4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25D0848"/>
    <w:multiLevelType w:val="hybridMultilevel"/>
    <w:tmpl w:val="B39ABF5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5E27491"/>
    <w:multiLevelType w:val="multilevel"/>
    <w:tmpl w:val="41BC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036BDE"/>
    <w:multiLevelType w:val="multilevel"/>
    <w:tmpl w:val="FDEE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DD109E"/>
    <w:multiLevelType w:val="hybridMultilevel"/>
    <w:tmpl w:val="41B2C16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6093A39"/>
    <w:multiLevelType w:val="multilevel"/>
    <w:tmpl w:val="A044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062255"/>
    <w:multiLevelType w:val="multilevel"/>
    <w:tmpl w:val="7A4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FF5FDD"/>
    <w:multiLevelType w:val="multilevel"/>
    <w:tmpl w:val="B47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8481246">
    <w:abstractNumId w:val="8"/>
  </w:num>
  <w:num w:numId="2" w16cid:durableId="144975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568413">
    <w:abstractNumId w:val="4"/>
  </w:num>
  <w:num w:numId="4" w16cid:durableId="950749795">
    <w:abstractNumId w:val="5"/>
  </w:num>
  <w:num w:numId="5" w16cid:durableId="1792430359">
    <w:abstractNumId w:val="1"/>
  </w:num>
  <w:num w:numId="6" w16cid:durableId="1763648289">
    <w:abstractNumId w:val="2"/>
  </w:num>
  <w:num w:numId="7" w16cid:durableId="238557965">
    <w:abstractNumId w:val="9"/>
  </w:num>
  <w:num w:numId="8" w16cid:durableId="1387336734">
    <w:abstractNumId w:val="10"/>
  </w:num>
  <w:num w:numId="9" w16cid:durableId="935332479">
    <w:abstractNumId w:val="11"/>
  </w:num>
  <w:num w:numId="10" w16cid:durableId="1061245622">
    <w:abstractNumId w:val="6"/>
  </w:num>
  <w:num w:numId="11" w16cid:durableId="481000621">
    <w:abstractNumId w:val="7"/>
  </w:num>
  <w:num w:numId="12" w16cid:durableId="113622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68"/>
    <w:rsid w:val="000246CC"/>
    <w:rsid w:val="00036C05"/>
    <w:rsid w:val="00057EB5"/>
    <w:rsid w:val="000D0B52"/>
    <w:rsid w:val="000D32D7"/>
    <w:rsid w:val="000E3E4D"/>
    <w:rsid w:val="00173003"/>
    <w:rsid w:val="00191C47"/>
    <w:rsid w:val="00192257"/>
    <w:rsid w:val="001B7498"/>
    <w:rsid w:val="002045EB"/>
    <w:rsid w:val="00250F4A"/>
    <w:rsid w:val="00295F72"/>
    <w:rsid w:val="00315220"/>
    <w:rsid w:val="00321484"/>
    <w:rsid w:val="00425D68"/>
    <w:rsid w:val="00453D03"/>
    <w:rsid w:val="00477022"/>
    <w:rsid w:val="0049773C"/>
    <w:rsid w:val="004B2A46"/>
    <w:rsid w:val="004B52EE"/>
    <w:rsid w:val="004E2B71"/>
    <w:rsid w:val="00523707"/>
    <w:rsid w:val="00540474"/>
    <w:rsid w:val="00557B7C"/>
    <w:rsid w:val="00577CDD"/>
    <w:rsid w:val="0058264C"/>
    <w:rsid w:val="0059746D"/>
    <w:rsid w:val="005D65AC"/>
    <w:rsid w:val="005F4DCC"/>
    <w:rsid w:val="006006EC"/>
    <w:rsid w:val="00681C40"/>
    <w:rsid w:val="006E36FB"/>
    <w:rsid w:val="006E5EC3"/>
    <w:rsid w:val="007B7E83"/>
    <w:rsid w:val="00872913"/>
    <w:rsid w:val="008A24B8"/>
    <w:rsid w:val="0091530F"/>
    <w:rsid w:val="009550BB"/>
    <w:rsid w:val="009C1B66"/>
    <w:rsid w:val="00A00DB3"/>
    <w:rsid w:val="00A45C9F"/>
    <w:rsid w:val="00AE3D65"/>
    <w:rsid w:val="00AF27CC"/>
    <w:rsid w:val="00B022C7"/>
    <w:rsid w:val="00B152B6"/>
    <w:rsid w:val="00B36FC8"/>
    <w:rsid w:val="00B45E09"/>
    <w:rsid w:val="00B62B40"/>
    <w:rsid w:val="00B75F7B"/>
    <w:rsid w:val="00BE4B92"/>
    <w:rsid w:val="00BF1BA4"/>
    <w:rsid w:val="00C44BDC"/>
    <w:rsid w:val="00C95597"/>
    <w:rsid w:val="00CA5588"/>
    <w:rsid w:val="00CB2FE2"/>
    <w:rsid w:val="00CC633E"/>
    <w:rsid w:val="00D05FD4"/>
    <w:rsid w:val="00D2226A"/>
    <w:rsid w:val="00D63393"/>
    <w:rsid w:val="00DA5680"/>
    <w:rsid w:val="00E2411A"/>
    <w:rsid w:val="00E24F5D"/>
    <w:rsid w:val="00EB7BA2"/>
    <w:rsid w:val="00F86EF3"/>
    <w:rsid w:val="00FA1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61682"/>
  <w15:chartTrackingRefBased/>
  <w15:docId w15:val="{4066249F-3B1A-4E97-B9EC-F22D9D2F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0B52"/>
    <w:pPr>
      <w:overflowPunct w:val="0"/>
      <w:autoSpaceDE w:val="0"/>
      <w:autoSpaceDN w:val="0"/>
      <w:adjustRightInd w:val="0"/>
      <w:spacing w:after="0" w:line="240" w:lineRule="auto"/>
      <w:textAlignment w:val="baseline"/>
    </w:pPr>
    <w:rPr>
      <w:rFonts w:ascii="Times New Roman" w:eastAsia="Times New Roman" w:hAnsi="Times New Roman" w:cs="Times New Roman"/>
      <w:bCs/>
      <w:szCs w:val="20"/>
      <w:lang w:eastAsia="it-IT"/>
    </w:rPr>
  </w:style>
  <w:style w:type="paragraph" w:styleId="Titolo2">
    <w:name w:val="heading 2"/>
    <w:basedOn w:val="Normale"/>
    <w:link w:val="Titolo2Carattere"/>
    <w:uiPriority w:val="9"/>
    <w:qFormat/>
    <w:rsid w:val="008A24B8"/>
    <w:pPr>
      <w:overflowPunct/>
      <w:autoSpaceDE/>
      <w:autoSpaceDN/>
      <w:adjustRightInd/>
      <w:spacing w:before="100" w:beforeAutospacing="1" w:after="100" w:afterAutospacing="1"/>
      <w:textAlignment w:val="auto"/>
      <w:outlineLvl w:val="1"/>
    </w:pPr>
    <w:rPr>
      <w:b/>
      <w:sz w:val="36"/>
      <w:szCs w:val="36"/>
    </w:rPr>
  </w:style>
  <w:style w:type="paragraph" w:styleId="Titolo3">
    <w:name w:val="heading 3"/>
    <w:basedOn w:val="Normale"/>
    <w:link w:val="Titolo3Carattere"/>
    <w:uiPriority w:val="9"/>
    <w:qFormat/>
    <w:rsid w:val="008A24B8"/>
    <w:pPr>
      <w:overflowPunct/>
      <w:autoSpaceDE/>
      <w:autoSpaceDN/>
      <w:adjustRightInd/>
      <w:spacing w:before="100" w:beforeAutospacing="1" w:after="100" w:afterAutospacing="1"/>
      <w:textAlignment w:val="auto"/>
      <w:outlineLvl w:val="2"/>
    </w:pPr>
    <w:rPr>
      <w:b/>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5D68"/>
    <w:pPr>
      <w:tabs>
        <w:tab w:val="center" w:pos="4819"/>
        <w:tab w:val="right" w:pos="9638"/>
      </w:tabs>
      <w:overflowPunct/>
      <w:autoSpaceDE/>
      <w:autoSpaceDN/>
      <w:adjustRightInd/>
      <w:textAlignment w:val="auto"/>
    </w:pPr>
    <w:rPr>
      <w:rFonts w:asciiTheme="minorHAnsi" w:eastAsiaTheme="minorHAnsi" w:hAnsiTheme="minorHAnsi" w:cstheme="minorBidi"/>
      <w:bCs w:val="0"/>
      <w:szCs w:val="22"/>
      <w:lang w:eastAsia="en-US"/>
    </w:rPr>
  </w:style>
  <w:style w:type="character" w:customStyle="1" w:styleId="IntestazioneCarattere">
    <w:name w:val="Intestazione Carattere"/>
    <w:basedOn w:val="Carpredefinitoparagrafo"/>
    <w:link w:val="Intestazione"/>
    <w:uiPriority w:val="99"/>
    <w:rsid w:val="00425D68"/>
  </w:style>
  <w:style w:type="paragraph" w:styleId="Pidipagina">
    <w:name w:val="footer"/>
    <w:basedOn w:val="Normale"/>
    <w:link w:val="PidipaginaCarattere"/>
    <w:uiPriority w:val="99"/>
    <w:unhideWhenUsed/>
    <w:rsid w:val="00425D68"/>
    <w:pPr>
      <w:tabs>
        <w:tab w:val="center" w:pos="4819"/>
        <w:tab w:val="right" w:pos="9638"/>
      </w:tabs>
      <w:overflowPunct/>
      <w:autoSpaceDE/>
      <w:autoSpaceDN/>
      <w:adjustRightInd/>
      <w:textAlignment w:val="auto"/>
    </w:pPr>
    <w:rPr>
      <w:rFonts w:asciiTheme="minorHAnsi" w:eastAsiaTheme="minorHAnsi" w:hAnsiTheme="minorHAnsi" w:cstheme="minorBidi"/>
      <w:bCs w:val="0"/>
      <w:szCs w:val="22"/>
      <w:lang w:eastAsia="en-US"/>
    </w:rPr>
  </w:style>
  <w:style w:type="character" w:customStyle="1" w:styleId="PidipaginaCarattere">
    <w:name w:val="Piè di pagina Carattere"/>
    <w:basedOn w:val="Carpredefinitoparagrafo"/>
    <w:link w:val="Pidipagina"/>
    <w:uiPriority w:val="99"/>
    <w:rsid w:val="00425D68"/>
  </w:style>
  <w:style w:type="character" w:customStyle="1" w:styleId="markj23lewoqx">
    <w:name w:val="markj23lewoqx"/>
    <w:basedOn w:val="Carpredefinitoparagrafo"/>
    <w:rsid w:val="00425D68"/>
  </w:style>
  <w:style w:type="character" w:styleId="Collegamentoipertestuale">
    <w:name w:val="Hyperlink"/>
    <w:basedOn w:val="Carpredefinitoparagrafo"/>
    <w:uiPriority w:val="99"/>
    <w:unhideWhenUsed/>
    <w:rsid w:val="00425D68"/>
    <w:rPr>
      <w:color w:val="0563C1" w:themeColor="hyperlink"/>
      <w:u w:val="single"/>
    </w:rPr>
  </w:style>
  <w:style w:type="character" w:styleId="Menzionenonrisolta">
    <w:name w:val="Unresolved Mention"/>
    <w:basedOn w:val="Carpredefinitoparagrafo"/>
    <w:uiPriority w:val="99"/>
    <w:semiHidden/>
    <w:unhideWhenUsed/>
    <w:rsid w:val="00425D68"/>
    <w:rPr>
      <w:color w:val="605E5C"/>
      <w:shd w:val="clear" w:color="auto" w:fill="E1DFDD"/>
    </w:rPr>
  </w:style>
  <w:style w:type="character" w:customStyle="1" w:styleId="Titolo2Carattere">
    <w:name w:val="Titolo 2 Carattere"/>
    <w:basedOn w:val="Carpredefinitoparagrafo"/>
    <w:link w:val="Titolo2"/>
    <w:uiPriority w:val="9"/>
    <w:rsid w:val="008A24B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A24B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A24B8"/>
    <w:pPr>
      <w:overflowPunct/>
      <w:autoSpaceDE/>
      <w:autoSpaceDN/>
      <w:adjustRightInd/>
      <w:spacing w:before="100" w:beforeAutospacing="1" w:after="100" w:afterAutospacing="1"/>
      <w:textAlignment w:val="auto"/>
    </w:pPr>
    <w:rPr>
      <w:bCs w:val="0"/>
      <w:sz w:val="24"/>
      <w:szCs w:val="24"/>
    </w:rPr>
  </w:style>
  <w:style w:type="character" w:styleId="Enfasigrassetto">
    <w:name w:val="Strong"/>
    <w:basedOn w:val="Carpredefinitoparagrafo"/>
    <w:uiPriority w:val="22"/>
    <w:qFormat/>
    <w:rsid w:val="008A2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3200">
      <w:bodyDiv w:val="1"/>
      <w:marLeft w:val="0"/>
      <w:marRight w:val="0"/>
      <w:marTop w:val="0"/>
      <w:marBottom w:val="0"/>
      <w:divBdr>
        <w:top w:val="none" w:sz="0" w:space="0" w:color="auto"/>
        <w:left w:val="none" w:sz="0" w:space="0" w:color="auto"/>
        <w:bottom w:val="none" w:sz="0" w:space="0" w:color="auto"/>
        <w:right w:val="none" w:sz="0" w:space="0" w:color="auto"/>
      </w:divBdr>
    </w:div>
    <w:div w:id="11478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3C0B-528F-4600-A0F1-15BF743C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Solbiati</dc:creator>
  <cp:keywords/>
  <dc:description/>
  <cp:lastModifiedBy>VN Antincendio</cp:lastModifiedBy>
  <cp:revision>2</cp:revision>
  <cp:lastPrinted>2024-05-16T15:21:00Z</cp:lastPrinted>
  <dcterms:created xsi:type="dcterms:W3CDTF">2024-05-18T09:37:00Z</dcterms:created>
  <dcterms:modified xsi:type="dcterms:W3CDTF">2024-05-18T09:37:00Z</dcterms:modified>
</cp:coreProperties>
</file>